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· 금융 조건 비교 보고 / 예시</w:t>
      </w:r>
    </w:p>
    <w:p>
      <w:pPr>
        <w:pStyle w:val="Heading1"/>
      </w:pPr>
      <w:r>
        <w:t>결론 · 승인 전 검토</w:t>
      </w:r>
    </w:p>
    <w:p>
      <w:r>
        <w:t>현재 가상 조건에서는 대출의 36개월 순지출이 130,530,000원으로 가장 작다. 리스 131,400,000원, 할부 131,580,000원이다. 모두 세금 제외 비교액이며 36개월 뒤 같은 장비를 소유한다. 담보·보증 심사, 실제 세금과 자금 확보, 미확정 조건 확인 전 계약을 확정하지 않는다.</w:t>
      </w:r>
    </w:p>
    <w:p>
      <w:pPr>
        <w:pStyle w:val="Heading1"/>
      </w:pPr>
      <w:r>
        <w:t>대출 근거</w:t>
      </w:r>
    </w:p>
    <w:p>
      <w:r>
        <w:t>원금 108,000,000원, 자체 부담 12,000,000원, 고정 연 6%, 원금 균등 월 3,000,000원. 이자 합 9,990,000원과 취급 비용 540,000원을 더하면 추가 부담 10,530,000원이다. 초기 12,540,000원, 정기 첫 납부 3,540,000원, 마지막 3,015,000원.</w:t>
      </w:r>
    </w:p>
    <w:p>
      <w:pPr>
        <w:pStyle w:val="Heading1"/>
      </w:pPr>
      <w:r>
        <w:t>비용과 자금의 차이</w:t>
      </w:r>
    </w:p>
    <w:p>
      <w:r>
        <w:t>리스는 총지출 143,400,000원에서 보증금 반환 12,000,000원을 빼면 131,400,000원이다. 만기 총지출 15,300,000원과 반환 12,000,000원은 별도다. 같은 날이라도 차감 정산이 미확정이므로 총액을 먼저 준비한다. 할부는 초기 24,300,000원으로 회사 한도 20,000,000원을 4,300,000원 초과한다.</w:t>
      </w:r>
    </w:p>
    <w:p>
      <w:pPr>
        <w:pStyle w:val="Heading1"/>
      </w:pPr>
      <w:r>
        <w:t>절감액 · 예시</w:t>
      </w:r>
    </w:p>
    <w:p>
      <w:r>
        <w:t>할부와 대출의 순지출 차이는 1,050,000원, 리스와 대출 차이는 870,000원이다. 실제 계약 전이므로 실현 절감액은 0원이다. 금리가 새 제안에서 7%로 오르고 나머지가 같다면 대출 순지출은 132,195,000원으로 바뀐다. 기존 고정금리가 변한다는 뜻은 아니다.</w:t>
      </w:r>
    </w:p>
    <w:p>
      <w:pPr>
        <w:pStyle w:val="Heading1"/>
      </w:pPr>
      <w:r>
        <w:t>원본과 운영</w:t>
      </w:r>
    </w:p>
    <w:p>
      <w:r>
        <w:t>제안서 3개와 회사 기준, 추가회신을 대조했다. 기존 기록 366행 중 중복 3행은 별도 보관, 빈칸 3행은 확인 전 보류, 확인된 360행 합계 23,580,000원이다. 이것은 신규 금융 비용이 아니다. 재무팀 확인 → 팀장 검토 → 조건 확인 → 계약 승인 순서로 진행한다. 제안 유효일은 2026-11-10이며 재검토 시 새 자료를 받는다.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