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9"/>
        </w:rPr>
        <w:t>※ 교육 영상 시연용 가상 자료입니다. 회사·거래처·담당자·금액은 모두 지어낸 것입니다.</w:t>
      </w:r>
    </w:p>
    <w:p>
      <w:r>
        <w:rPr>
          <w:b/>
          <w:sz w:val="30"/>
        </w:rPr>
        <w:t>내년(2027년) 예산 가정 — 한결물류(가상) 재무팀</w:t>
      </w:r>
    </w:p>
    <w:p>
      <w:r>
        <w:t>단위: 백만 원 · 인사팀·영업팀·계약서에서 확인한 내용</w:t>
      </w:r>
    </w:p>
    <w:p>
      <w:r>
        <w:t>- 인건비: 임금 4% 인상 + 신규 3명 (1인당 연 50백만 원)</w:t>
      </w:r>
    </w:p>
    <w:p>
      <w:r>
        <w:t>- 운송 외주비: 평택 물량 1년 반영, 15% 증가</w:t>
      </w:r>
    </w:p>
    <w:p>
      <w:r>
        <w:t>- 유류비: 경유 단가 5% 상승</w:t>
      </w:r>
    </w:p>
    <w:p>
      <w:r>
        <w:t>- 센터 임차료: 계약서대로 3% 인상</w:t>
      </w:r>
    </w:p>
    <w:p>
      <w:r>
        <w:t>- 포장재비: 물량 따라 10% 증가</w:t>
      </w:r>
    </w:p>
    <w:p>
      <w:r>
        <w:t>- 광고선전비: 전시회 1회 추가, 100</w:t>
      </w:r>
    </w:p>
    <w:p>
      <w:r>
        <w:t>- 교육훈련비: AI 교육 추가, 50</w:t>
      </w:r>
    </w:p>
    <w:p>
      <w:r>
        <w:t>※ 차량 수리비는 아직 가정을 정하지 못했습니다(비워 둠).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